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SN-12430 (Sachsen)</w:t>
      </w:r>
    </w:p>
    <w:p>
      <w:r>
        <w:rPr>
          <w:color w:val="555555"/>
          <w:sz w:val="18"/>
        </w:rPr>
        <w:t xml:space="preserve">Transparenzrichtlinie-Zuständigkeitsverordnung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15. März 2012</w:t>
      </w:r>
    </w:p>
    <w:p>
      <w:r>
        <w:t xml:space="preserve">Der Ministerpräsident</w:t>
      </w:r>
    </w:p>
    <w:p>
      <w:r>
        <w:t xml:space="preserve">Stanislaw Tillich</w:t>
      </w:r>
    </w:p>
    <w:p>
      <w:r>
        <w:t xml:space="preserve">Der Staatsminister für Wirtschaft, Arbeit und Verkehr</w:t>
      </w:r>
    </w:p>
    <w:p>
      <w:r>
        <w:t xml:space="preserve">Sven Morlok</w:t>
      </w:r>
    </w:p>
    <w:p>
      <w:r>
        <w:rPr>
          <w:color w:val="555555"/>
          <w:sz w:val="17"/>
        </w:rPr>
        <w:t xml:space="preserve">Zitiervorschlag: § 3 SN-12430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https://recht.nulegal.eu/gesetze/SN-12430/3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