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SN-12430 (Sachsen)</w:t>
      </w:r>
    </w:p>
    <w:p>
      <w:r>
        <w:rPr>
          <w:color w:val="555555"/>
          <w:sz w:val="18"/>
        </w:rPr>
        <w:t xml:space="preserve">Transparenzrichtlinie-Zuständigkeitsverordnung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Staatsministerium für Wirtschaft, Arbeit und Verkehr koordiniert die Beantwortung von Auskunftsverlangen und leitet die Angaben an die zuständige Bundesbehörde weiter.</w:t>
      </w:r>
    </w:p>
    <w:p>
      <w:r>
        <w:rPr>
          <w:color w:val="555555"/>
          <w:sz w:val="17"/>
        </w:rPr>
        <w:t xml:space="preserve">Zitiervorschlag: § 2 SN-12430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https://recht.nulegal.eu/gesetze/SN-12430/2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