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SN-1233 (Sachsen)</w:t>
      </w:r>
    </w:p>
    <w:p>
      <w:r>
        <w:rPr>
          <w:color w:val="555555"/>
          <w:sz w:val="18"/>
        </w:rPr>
        <w:t xml:space="preserve">Gesetz zu dem Staatsvertrag zwischen dem Freistaat Sachsen und dem Freistaat Thüringen über die Aufnahme der Mitglieder der Architektenkammer Thüringen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10 Abs. 1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12. Februar 1999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Artikel 2 SN-1233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https://recht.nulegal.eu/gesetze/SN-1233/2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