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SN-12229 (Sachsen) — Topografische Karten und Einsichtnahme</w:t>
      </w:r>
    </w:p>
    <w:p>
      <w:r>
        <w:rPr>
          <w:color w:val="555555"/>
          <w:sz w:val="18"/>
        </w:rPr>
        <w:t xml:space="preserve">Verordnung der Sächsischen Staatsregierung über die Festsetzung der Lärmschutzbereiche für den Verkehrsflughafen Dresden und für den Verkehrsflughafen Leipzig/Halle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2 bestimmten Lärmschutzbereiche sind in topografischen Karten im Maßstab 1 : 50 000 (Anlagen 3 bis 8) dargestellt.</w:t>
      </w:r>
    </w:p>
    <w:p>
      <w:r>
        <w:t xml:space="preserve">(2) Der Freistaat Sachsen stellt den vom Lärmschutzbereich berührten Gemeinden Karten mit Grundstücks- und Flurstücksgrenzen im Maßstab 1 : 5 000 zur Verfügung, in denen der Lärmschutzbereich mit seinen Schutzzonen dargestellt ist, soweit er das Gemeindegebiet betrifft.</w:t>
      </w:r>
    </w:p>
    <w:p>
      <w:r>
        <w:t xml:space="preserve">(3) Die Gemeinden halten die Karten während der allgemeinen Dienstzeiten zur Einsichtnahme für jedermann bereit und geben dies ortsüblich bekannt.</w:t>
      </w:r>
    </w:p>
    <w:p>
      <w:r>
        <w:rPr>
          <w:color w:val="555555"/>
          <w:sz w:val="17"/>
        </w:rPr>
        <w:t xml:space="preserve">Zitiervorschlag: § 4 SN-12229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https://recht.nulegal.eu/gesetze/SN-12229/4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