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SN-12229 (Sachsen) — Lärmschutzbereiche</w:t>
      </w:r>
    </w:p>
    <w:p>
      <w:r>
        <w:rPr>
          <w:color w:val="555555"/>
          <w:sz w:val="18"/>
        </w:rPr>
        <w:t xml:space="preserve">Verordnung der Sächsischen Staatsregierung über die Festsetzung der Lärmschutzbereiche für den Verkehrsflughafen Dresden und für den Verkehrsflughafen Leipzig/Halle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Lärmschutzbereiche, jeweils bestehend aus zwei Tag-Schutzzonen und einer Nacht-Schutzzone, werden für den Verkehrsflughafen Dresden durch die interpolierten Verbindungslinien zwischen den in Anlage 1 genannten Kurvenpunkten und für den Verkehrsflughafen Leipzig/Halle durch die interpolierten Verbindungslinien zwischen den in Anlage 2 genannten Kurvenpunkten bestimmt.</w:t>
      </w:r>
    </w:p>
    <w:p>
      <w:r>
        <w:t xml:space="preserve">(2) Das Flughafengelände gehört nicht zum Lärmschutzbereich.</w:t>
      </w:r>
    </w:p>
    <w:p>
      <w:r>
        <w:t xml:space="preserve">(3) Soweit ein Lärmschutzbereich nicht auf dem Gebiet des Freistaates Sachsen liegt, sind die Angaben lediglich nachrichtlich.</w:t>
      </w:r>
    </w:p>
    <w:p>
      <w:r>
        <w:rPr>
          <w:color w:val="555555"/>
          <w:sz w:val="17"/>
        </w:rPr>
        <w:t xml:space="preserve">Zitiervorschlag: § 2 SN-12229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https://recht.nulegal.eu/gesetze/SN-12229/2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