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SN-12229 (Sachsen) — Zweck und Geltungsbereich</w:t>
      </w:r>
    </w:p>
    <w:p>
      <w:r>
        <w:rPr>
          <w:color w:val="555555"/>
          <w:sz w:val="18"/>
        </w:rPr>
        <w:t xml:space="preserve">Verordnung der Sächsischen Staatsregierung über die Festsetzung der Lärmschutzbereiche für den Verkehrsflughafen Dresden und für den Verkehrsflughafen Leipzig/Halle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Schutz der Allgemeinheit und der Nachbarschaft vor Gefahren, erheblichen Nachteilen und erheblichen Belästigungen durch Fluglärm in der Umgebung des Verkehrsflughafens Dresden und des Verkehrsflughafens Leipzig/Halle werden die in § 2 bestimmten Lärmschutzbereiche festgesetzt.</w:t>
      </w:r>
    </w:p>
    <w:p>
      <w:r>
        <w:rPr>
          <w:color w:val="555555"/>
          <w:sz w:val="17"/>
        </w:rPr>
        <w:t xml:space="preserve">Zitiervorschlag: § 1 SN-12229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https://recht.nulegal.eu/gesetze/SN-12229/1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