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SN-12056 (Sachsen) — Inkrafttreten</w:t>
      </w:r>
    </w:p>
    <w:p>
      <w:r>
        <w:rPr>
          <w:color w:val="555555"/>
          <w:sz w:val="18"/>
        </w:rPr>
        <w:t xml:space="preserve">Verordnung der Landesdirektion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1. Juli 2011</w:t>
      </w:r>
    </w:p>
    <w:p>
      <w:r>
        <w:t xml:space="preserve">Landesdirektion Dresden</w:t>
      </w:r>
    </w:p>
    <w:p>
      <w:r>
        <w:t xml:space="preserve">Gökelmann</w:t>
      </w:r>
    </w:p>
    <w:p>
      <w:r>
        <w:t xml:space="preserve">Präsident</w:t>
      </w:r>
    </w:p>
    <w:p>
      <w:r>
        <w:rPr>
          <w:color w:val="555555"/>
          <w:sz w:val="17"/>
        </w:rPr>
        <w:t xml:space="preserve">Zitiervorschlag: § 3 SN-12056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https://recht.nulegal.eu/gesetze/SN-12056/3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