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SN-12055 (Sachsen)</w:t>
      </w:r>
    </w:p>
    <w:p>
      <w:r>
        <w:rPr>
          <w:color w:val="555555"/>
          <w:sz w:val="18"/>
        </w:rPr>
        <w:t xml:space="preserve">Verordnung der Landesdirektion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von § 19 Abs. 1 des Sächsischen Gesetzes über Naturschutz und Landschaftspflege (Sächsisches Naturschutzgesetz – SächsNatSchG ) in der Fassung der Bekanntmachung vom 3. Juli 2007 (SächsGVBl. S. 321), das zuletzt durch Artikel 17 des Gesetzes vom 15. Dezember 2010 (SächsGVBl. S. 387, 398) geändert worden ist, in Verbindung mit § 26 des Gesetzes über Naturschutz und Landschaftspflege ( Bundesnaturschutzgesetz – BNatSchG ) vom 29. Juli 2009 (BGBl. I S. 2542) sowie mit § 1 Satz 3 der Verordnung des Sächsischen Staatsministeriums für Umwelt und Landwirtschaft zur Bestimmung der Zuständigkeiten zum Erlass und zur Änderung von Schutzgebietsverordnungen ( SchutzgebZuÜbVO ) vom 22. November 2005 (SächsGVBl. S. 314), geändert durch Verordnung vom 26. Juni 2008 (SächsGVBl. S. 451) wird verordnet:</w:t>
      </w:r>
    </w:p>
    <w:p>
      <w:r>
        <w:rPr>
          <w:color w:val="555555"/>
          <w:sz w:val="17"/>
        </w:rPr>
        <w:t xml:space="preserve">Zitiervorschlag: Eingangsformel SN-12055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https://recht.nulegal.eu/gesetze/SN-12055/eingangsformel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