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SN-12000 (Sachsen)</w:t>
      </w:r>
    </w:p>
    <w:p>
      <w:r>
        <w:rPr>
          <w:color w:val="555555"/>
          <w:sz w:val="18"/>
        </w:rPr>
        <w:t xml:space="preserve">Verordnung des Sächsischen Staatsministeriums der Finanzen über die Höhe des Anteils der Gemeinden am Spielbankabgabeaufkommen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 aufgrund von</w:t>
      </w:r>
    </w:p>
    <w:p>
      <w:r>
        <w:t xml:space="preserve">1. § 16 des Gesetzes über Spielbanken im Freistaat Sachsen (Sächsisches Spielbankengesetz – SächsSpielbG) in der Fassung der Bekanntmachung vom 26. Juni 2009 (SächsGVBl. S. 318), im Einvernehmen mit dem Staatsministerium des Innern und</w:t>
      </w:r>
    </w:p>
    <w:p>
      <w:r>
        <w:t xml:space="preserve">2. § 16 Abs. 1 Satz 2 Nr. 1 des Gesetzes über die Verwaltungsorganisation des Freistaates Sachsen (Sächsisches Verwaltungsorganisationsgesetz – SächsVwOrgG) vom 25. November 2003 (SächsGVBl. S. 899), das zuletzt durch Artikel 28 des Gesetzes vom 15. Dezember 2010 (SächsGVBl. S. 387, 402) geändert worden ist:</w:t>
      </w:r>
    </w:p>
    <w:p>
      <w:r>
        <w:rPr>
          <w:color w:val="555555"/>
          <w:sz w:val="17"/>
        </w:rPr>
        <w:t xml:space="preserve">Zitiervorschlag: Eingangsformel SN-12000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https://recht.nulegal.eu/gesetze/SN-12000/eingangsformel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