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SN-12000 (Sachsen) — Inkrafttreten und Außerkrafttreten</w:t>
      </w:r>
    </w:p>
    <w:p>
      <w:r>
        <w:rPr>
          <w:color w:val="555555"/>
          <w:sz w:val="18"/>
        </w:rPr>
        <w:t xml:space="preserve">Verordnung des Sächsischen Staatsministeriums der Finanzen über die Höhe des Anteils der Gemeinden am Spielbankabgabeaufkommen</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tritt die Verordnung des Sächsischen Staatsministeriums der Finanzen über die Höhe des Anteils der Gemeinden am Spielbankabgabeaufkommen vom 8. Dezember 1999 (SächsGVBl. S. 809), zuletzt geändert durch Verordnung vom 6. Juli 2004 (SächsGVBl. S. 407), außer Kraft.</w:t>
      </w:r>
    </w:p>
    <w:p>
      <w:r>
        <w:t xml:space="preserve">Dresden, den 31. März 2011</w:t>
      </w:r>
    </w:p>
    <w:p>
      <w:r>
        <w:t xml:space="preserve">Der Staatsminister der Finanzen</w:t>
      </w:r>
    </w:p>
    <w:p>
      <w:r>
        <w:t xml:space="preserve">Prof. Dr. Georg Unland</w:t>
      </w:r>
    </w:p>
    <w:p>
      <w:r>
        <w:rPr>
          <w:color w:val="555555"/>
          <w:sz w:val="17"/>
        </w:rPr>
        <w:t xml:space="preserve">Zitiervorschlag: § 3 SN-12000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https://recht.nulegal.eu/gesetze/SN-12000/3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