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SN-12000 (Sachsen) — Gemeindeanteil</w:t>
      </w:r>
    </w:p>
    <w:p>
      <w:r>
        <w:rPr>
          <w:color w:val="555555"/>
          <w:sz w:val="18"/>
        </w:rPr>
        <w:t xml:space="preserve">Verordnung des Sächsischen Staatsministeriums der Finanzen über die Höhe des Anteils der Gemeinden am Spielbankabgabeaufkommen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Gemeinde, in deren Gemeindegebiet eine Spielbank (§ 2 SächsSpielbG ) betrieben wird (Betriebsgemeinde), erhält vom Freistaat Sachsen einen Anteil am Spielbankabgabeaufkommen.</w:t>
      </w:r>
    </w:p>
    <w:p>
      <w:r>
        <w:rPr>
          <w:color w:val="555555"/>
          <w:sz w:val="17"/>
        </w:rPr>
        <w:t xml:space="preserve">Zitiervorschlag: § 1 SN-12000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https://recht.nulegal.eu/gesetze/SN-12000/1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