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SN-11701 (Sachsen) — Inkrafttreten</w:t>
      </w:r>
    </w:p>
    <w:p>
      <w:r>
        <w:rPr>
          <w:color w:val="555555"/>
          <w:sz w:val="18"/>
        </w:rPr>
        <w:t xml:space="preserve">Verordnung der Landesdirektion Dresden zur Festsetzung des Hochwasserentstehungsgebietes „Zittauer Gebirge – Lausche und Jonsdorf“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Ablauf der Auslegungsfrist (vergleiche § 3 Abs. 1) in Kraft.</w:t>
      </w:r>
    </w:p>
    <w:p>
      <w:r>
        <w:t xml:space="preserve">Dresden, den 10. März 2011</w:t>
      </w:r>
    </w:p>
    <w:p>
      <w:r>
        <w:t xml:space="preserve">Landesdirektion Dresden</w:t>
      </w:r>
    </w:p>
    <w:p>
      <w:r>
        <w:t xml:space="preserve">Braun-Dettmer</w:t>
      </w:r>
    </w:p>
    <w:p>
      <w:r>
        <w:t xml:space="preserve">Vizepräsidentin</w:t>
      </w:r>
    </w:p>
    <w:p>
      <w:r>
        <w:rPr>
          <w:color w:val="555555"/>
          <w:sz w:val="17"/>
        </w:rPr>
        <w:t xml:space="preserve">Zitiervorschlag: § 4 SN-11701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https://recht.nulegal.eu/gesetze/SN-11701/4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