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SN-11586 (Sachsen) — Berechnung, Festsetzung und Auszahlung der Investitionspauschale</w:t>
      </w:r>
    </w:p>
    <w:p>
      <w:r>
        <w:rPr>
          <w:color w:val="555555"/>
          <w:sz w:val="18"/>
        </w:rPr>
        <w:t xml:space="preserve">Gesetz über die Gewährung einer Investitionspauschale an die Kreisfreien Städte und Landkreise in den Jahren 2011 und 2012 sowie über die Gewährung einer Straßenbaupauschale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§ 15 Abs. 3 Satz 1 und 2 Alternative 2, § 31 Abs. 1 Satz 1 und 2, Abs. 2 und 3 Satz 2 sowie § 32 Abs. 2 Nr. 1 des Gesetzes über den Finanzausgleich mit den Gemeinden und Landkreisen im Freistaat Sachsen (Sächsisches Finanzausgleichsgesetz – SächsFAG) in der Fassung der Bekanntmachung vom 12. Januar 2009 (SächsGVBl. S. 24), das durch Gesetz vom 15. Dezember 2010 (SächsGVBl. S. 406) geändert worden ist, gelten entsprechend.</w:t>
      </w:r>
    </w:p>
    <w:p>
      <w:r>
        <w:rPr>
          <w:color w:val="555555"/>
          <w:sz w:val="17"/>
        </w:rPr>
        <w:t xml:space="preserve">Zitiervorschlag: § 3 SN-11586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https://recht.nulegal.eu/gesetze/SN-11586/3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