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SN-11586 (Sachsen) — Verteilung der Investitionspauschale</w:t>
      </w:r>
    </w:p>
    <w:p>
      <w:r>
        <w:rPr>
          <w:color w:val="555555"/>
          <w:sz w:val="18"/>
        </w:rPr>
        <w:t xml:space="preserve">Gesetz über die Gewährung einer Investitionspauschale an die Kreisfreien Städte und Landkreise in den Jahren 2011 und 2012 sowie über die Gewährung einer Straßenbaupauschale</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Höhe der Zuweisungen an die Kreisfreien Städte und Landkreise bemisst sich nach dem Anteil der Einwohner der jeweiligen Kreisfreien Stadt und des jeweiligen Landkreises an der Gesamteinwohnerzahl.</w:t>
      </w:r>
    </w:p>
    <w:p>
      <w:r>
        <w:t xml:space="preserve">(2) Als Einwohnerzahl im Sinne dieses Gesetzes gilt die vom Statistischen Landesamt ermittelte Bevölkerung. Maßgebender Stichtag für die Feststellung ist der 31. Dezember des Vorvorjahres, umgerechnet auf den Gebietsstand vom 1. Januar des Ausgleichsjahres.</w:t>
      </w:r>
    </w:p>
    <w:p>
      <w:r>
        <w:rPr>
          <w:color w:val="555555"/>
          <w:sz w:val="17"/>
        </w:rPr>
        <w:t xml:space="preserve">Zitiervorschlag: § 2 SN-11586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https://recht.nulegal.eu/gesetze/SN-11586/2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