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SN-11539 (Sachsen)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 Grund von</w:t>
      </w:r>
    </w:p>
    <w:p>
      <w:r>
        <w:t xml:space="preserve">a) § 36 Abs. 3 Nr. 2 des Sächsischen Wassergesetzes (SächsWG) in der Fassung der Bekanntmachung vom 18. Oktober 2004 (SächsGVBl. S. 482), das zuletzt durch Artikel 1 des Gesetzes vom 23. September 2010 (SächsGVBl. S. 270) geändert worden ist, im Einvernehmen mit dem Staatsministerium für Umwelt und Landwirtschaft und dem Staatsministerium des Innern,</w:t>
      </w:r>
    </w:p>
    <w:p>
      <w:r>
        <w:t xml:space="preserve">b) § 36 Abs. 4 Satz 1 SächsWG ,</w:t>
      </w:r>
    </w:p>
    <w:p>
      <w:r>
        <w:t xml:space="preserve">c) § 16 Abs. 1 Satz 2 Nr. 2 des Gesetzes über die Verwaltungsorganisation des Freistaates Sachsen (Sächsisches Verwaltungsorganisationsgesetz – SächsVwOrgG) vom 25. November 2003 (SächsGVBl. S. 899), das zuletzt durch Artikel 1 des Gesetzes vom 29. Januar 2008 (SächsGVBl. S. 138, 140) geändert worden ist, mit Zustimmung der Staatsregierung:</w:t>
      </w:r>
    </w:p>
    <w:p>
      <w:r>
        <w:rPr>
          <w:color w:val="555555"/>
          <w:sz w:val="17"/>
        </w:rPr>
        <w:t xml:space="preserve">Zitiervorschlag: Eingangsformel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