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SN-11539 (Sachsen) — Inkrafttreten und Außerkrafttreten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Gemeinsame Verordnung des Sächsischen Staatsministeriums für Wirtschaft und Arbeit und des Sächsischen Staatsministeriums für Umwelt und Landwirtschaft über die Häfen im Freistaat Sachsen (Sächsische Hafenverordnung – SächsHafVO) vom 22. Februar 2002 (SächsGVBl. S. 88) außer Kraft.</w:t>
      </w:r>
    </w:p>
    <w:p>
      <w:r>
        <w:t xml:space="preserve">Dresden, den 25. Oktober 2010</w:t>
      </w:r>
    </w:p>
    <w:p>
      <w:r>
        <w:t xml:space="preserve">Der Staatsminister für Wirtschaft, Arbeit und Verkehr</w:t>
      </w:r>
    </w:p>
    <w:p>
      <w:r>
        <w:t xml:space="preserve">Sven Morlok</w:t>
      </w:r>
    </w:p>
    <w:p>
      <w:r>
        <w:rPr>
          <w:color w:val="555555"/>
          <w:sz w:val="17"/>
        </w:rPr>
        <w:t xml:space="preserve">Zitiervorschlag: § 46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https://recht.nulegal.eu/gesetze/SN-11539/46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