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SN-11539 (Sachsen) — Aufgaben, Befugnisse und Zuständigkeiten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Durchführung dieser Verordnung obliegt der Hafenbehörde, soweit nichts anderes bestimmt ist. Dazu ordnet sie nach pflichtgemäßem Ermessen die notwendigen Maßnahmen für den Einzelfall an.</w:t>
      </w:r>
    </w:p>
    <w:p>
      <w:r>
        <w:t xml:space="preserve">(2) Hafenbehörde ist die Landesdirektion Sachsen.</w:t>
      </w:r>
    </w:p>
    <w:p>
      <w:r>
        <w:t xml:space="preserve">(3) Die Hafenbehörde ist zuständige Behörde im Sinne von § 17 Abs. 4 Satz 2 und 3 SächsWG und Fachbehörde im Sinne anderer Vorschriften. Sie hat unbeschadet der Zuständigkeit sonstiger Behörden die fachlichen Belange des Hafens in anderen Verfahren zu vertreten.</w:t>
      </w:r>
    </w:p>
    <w:p>
      <w:r>
        <w:t xml:space="preserve">(4) Hafenbetreiber ist die Sächsische Binnenhäfen Oberelbe GmbH (SBO GmbH) mit Sitz in Dresden; diese wird mit Ausnahme der in Absatz 3 und Abschnitt 5 genannten Aufgaben mit dem Vollzug der Aufgaben der Hafenbehörde beauftragt. Insoweit handelt sie öffentlich-rechtlich (Beliehene). Der Freistaat Sachsen ersetzt die der Beliehenen durch den Vollzug der übertragenen Aufgaben entstehenden Kosten. Auf den Aufwendungsersatz nach Satz 3 sind die von der SBO GmbH für ihre Amtshandlungen erhobenen Verwaltungsgebühren und Auslagen anzurechnen.</w:t>
      </w:r>
    </w:p>
    <w:p>
      <w:r>
        <w:rPr>
          <w:color w:val="555555"/>
          <w:sz w:val="17"/>
        </w:rPr>
        <w:t xml:space="preserve">Zitiervorschlag: § 4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