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SN-11539 (Sachsen) — Elektrische Schutzmaßnahmen beim Umschlag entzündbarer flüssiger Stoffe und verflüssigter Gase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gemäß der Gefahrgutverordnung Straße, Eisenbahn und Binnenschifffahrt hergestellten elektrischen Verbindungen dürfen nicht vor dem Abschlagen der Umschlagleitungen getrennt werden.</w:t>
      </w:r>
    </w:p>
    <w:p>
      <w:r>
        <w:t xml:space="preserve">(2) Elektrische Kabelverbindungen zu den Fahrzeugen einschließlich Fernsprechkabel dürfen während des Ladens oder Löschens von entzündbaren flüssigen Stoffen und verflüssigten Gasen nicht hergestellt und nur durch Schnelltrennkupplungen getrennt werden.</w:t>
      </w:r>
    </w:p>
    <w:p>
      <w:r>
        <w:t xml:space="preserve">(3) Während eines Gewitters ist das Laden oder Löschen von entzündbaren flüssigen Stoffen und verflüssigten Gasen verboten.</w:t>
      </w:r>
    </w:p>
    <w:p>
      <w:r>
        <w:rPr>
          <w:color w:val="555555"/>
          <w:sz w:val="17"/>
        </w:rPr>
        <w:t xml:space="preserve">Zitiervorschlag: § 38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https://recht.nulegal.eu/gesetze/SN-11539/38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