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SN-11539 (Sachsen) — Anwendung anderer Vorschriften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folgenden Vorschriften sind in der jeweils geltenden Fassung entsprechend anzuwenden, soweit in dieser Verordnung nichts Abweichendes bestimmt ist:</w:t>
      </w:r>
    </w:p>
    <w:p>
      <w:r>
        <w:t xml:space="preserve">1. die Binnenschiffahrtsstraßen-Ordnung ( BinSchStrO ) vom 8. Oktober 1998 (BGBl. I S. 3148, 3317, 1999 I S. 159), zuletzt geändert durch Artikel 3 Nr. 3 der Verordnung vom 19. Dezember 2008 (BGBl. I S. 2868, 2869), in Verbindung mit der Verordnung zur Einführung der Binnenschiffahrtsstraßen-Ordnung ( BinSchStrEV ) vom 8. Oktober 1998 (BGBl. I S. 3148, 3317), zuletzt geändert durch Artikel 3 § 3 Nr. 1 und 2 der Verordnung vom 19. Dezember 2008 (BGBl. I S. 2868, 2869),</w:t>
      </w:r>
    </w:p>
    <w:p>
      <w:r>
        <w:t xml:space="preserve">2. die Verordnung über die Schiffssicherheit in der Binnenschifffahrt ( Binnenschiffsuntersuchungsordnung – BinSchUO ) vom 6. Dezember 2008 (BGBl. I S. 2450),</w:t>
      </w:r>
    </w:p>
    <w:p>
      <w:r>
        <w:t xml:space="preserve">3. die Verordnung über Befähigungszeugnisse in der Binnenschiffahrt ( Binnenschifferpatentverordnung – BinSchPatentV ) vom 15. Dezember 1997 (BGBl. I S. 3066), zuletzt geändert durch Artikel 3 § 9 der Verordnung vom 19. Dezember 2008 (BGBl. I S. 2868, 2870),</w:t>
      </w:r>
    </w:p>
    <w:p>
      <w:r>
        <w:t xml:space="preserve">4. die Verordnung über das Führen von Sportbooten auf Binnenschiffahrtsstraßen ( Sportbootführerscheinverordnung -Binnen – SportbootFüV-Bin ) vom 22. März 1989 (BGBl. I S. 536, 1102), zuletzt geändert durch Artikel 11 der Verordnung vom 20. Januar 2006 (BGBl. I S. 220, 224),</w:t>
      </w:r>
    </w:p>
    <w:p>
      <w:r>
        <w:t xml:space="preserve">5. die Verordnung über die innerstaatliche und grenzüberschreitende Beförderung gefährlicher Güter auf der Straße, mit Eisenbahnen und auf Binnengewässern ( Gefahrgutverordnung Straße, Eisenbahn und Binnenschifffahrt – GGVSEB ) vom 17. Juni 2009 (BGBl. I S. 1389).</w:t>
      </w:r>
    </w:p>
    <w:p>
      <w:r>
        <w:t xml:space="preserve">(2) Wasserrechtliche Vorschriften, insbesondere zum Umgang mit wassergefährdenden Stoffen, bleiben unberührt.</w:t>
      </w:r>
    </w:p>
    <w:p>
      <w:r>
        <w:rPr>
          <w:color w:val="555555"/>
          <w:sz w:val="17"/>
        </w:rPr>
        <w:t xml:space="preserve">Zitiervorschlag: § 3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