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SN-11539 (Sachsen) — Zuweisung von Liegeplätzen</w:t>
      </w:r>
    </w:p>
    <w:p>
      <w:r>
        <w:rPr>
          <w:color w:val="555555"/>
          <w:sz w:val="18"/>
        </w:rPr>
        <w:t xml:space="preserve">Sächsische Hafenverordnung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Auf Verlangen des Hafenbetreibers sind bestimmte Liegeplätze einzunehmen oder zu verlassen. Die zugewiesenen Liegeplätze dürfen nicht ohne Zustimmung des Hafenbetreibers gewechselt werden.</w:t>
      </w:r>
    </w:p>
    <w:p>
      <w:r>
        <w:t xml:space="preserve">(2) Auf Verlangen des Hafenbetreibers ist eine geringfügige Veränderung des Standortes vorzunehmen oder zu einem anderen Liegeplatz zu wechseln.</w:t>
      </w:r>
    </w:p>
    <w:p>
      <w:r>
        <w:rPr>
          <w:color w:val="555555"/>
          <w:sz w:val="17"/>
        </w:rPr>
        <w:t xml:space="preserve">Zitiervorschlag: § 18 SN-11539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https://recht.nulegal.eu/gesetze/SN-11539/18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