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SN-11539 (Sachsen) — Besondere Zustimmung zum Einlaufen</w:t>
      </w:r>
    </w:p>
    <w:p>
      <w:r>
        <w:rPr>
          <w:color w:val="555555"/>
          <w:sz w:val="18"/>
        </w:rPr>
        <w:t xml:space="preserve">Sächsische Hafenverordnung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Vor dem Einlaufen in einen Hafen muss der Schiffsführer oder Eigentümer eines Fahrzeugs oder einer schwimmenden Anlage, das oder die</w:t>
      </w:r>
    </w:p>
    <w:p>
      <w:r>
        <w:t xml:space="preserve">1. zu sinken droht,</w:t>
      </w:r>
    </w:p>
    <w:p>
      <w:r>
        <w:t xml:space="preserve">2. brennt oder bei dem oder der Brandverdacht besteht,</w:t>
      </w:r>
    </w:p>
    <w:p>
      <w:r>
        <w:t xml:space="preserve">3. wegen der Bau- oder Antriebsart oder wegen der Abmessungen den Hafenbetrieb gefährden oder behindern könnte,</w:t>
      </w:r>
    </w:p>
    <w:p>
      <w:r>
        <w:t xml:space="preserve">4. zum Verschrotten bestimmt ist,</w:t>
      </w:r>
    </w:p>
    <w:p>
      <w:r>
        <w:t xml:space="preserve">5. besonderen Maßnahmen nach dem ,Gesetz zu den Internationalen Gesundheitsvorschriften (2005) (IGV) vom 23. Mai 2005’ vom 20. Juli 2007 (BGBl. II S. 930), in der jeweils geltenden Fassung, unterliegt oder</w:t>
      </w:r>
    </w:p>
    <w:p>
      <w:r>
        <w:t xml:space="preserve">6. der Sport- und Freizeitschifffahrt dient,</w:t>
      </w:r>
    </w:p>
    <w:p>
      <w:r>
        <w:t xml:space="preserve">die Zustimmung der Hafenbehörde einholen.</w:t>
      </w:r>
    </w:p>
    <w:p>
      <w:r>
        <w:rPr>
          <w:color w:val="555555"/>
          <w:sz w:val="17"/>
        </w:rPr>
        <w:t xml:space="preserve">Zitiervorschlag: § 16 SN-11539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https://recht.nulegal.eu/gesetze/SN-11539/16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