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SN-11531 (Sachsen)</w:t>
      </w:r>
    </w:p>
    <w:p>
      <w:r>
        <w:rPr>
          <w:color w:val="555555"/>
          <w:sz w:val="18"/>
        </w:rPr>
        <w:t xml:space="preserve">Gesetz zum Bilgenentwässerungsverband-Staatsvertrag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Bilgenentwässerungsverband-Staatsvertrag nach seinem Artikel 4 Satz 2 in Kraft tritt, ist durch die Staatskanzlei im Sächsischen Gesetz- und Verordnungsblatt bekannt zu machen.</w:t>
      </w:r>
    </w:p>
    <w:p>
      <w:r>
        <w:t xml:space="preserve">Dresden, den 21. Oktober 2010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Der Staatsminister für Umwelt und Landwirtschaft</w:t>
      </w:r>
    </w:p>
    <w:p>
      <w:r>
        <w:t xml:space="preserve">Frank Kupfer</w:t>
      </w:r>
    </w:p>
    <w:p>
      <w:r>
        <w:rPr>
          <w:color w:val="555555"/>
          <w:sz w:val="17"/>
        </w:rPr>
        <w:t xml:space="preserve">Zitiervorschlag: Artikel 2 SN-11531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