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SN-11506 (Sachsen)</w:t>
      </w:r>
    </w:p>
    <w:p>
      <w:r>
        <w:rPr>
          <w:color w:val="555555"/>
          <w:sz w:val="18"/>
        </w:rPr>
        <w:t xml:space="preserve">Gesetz zum Staatsvertrag über die Verteilung von Versorgungslasten bei bund- und länderübergreifenden Dienstherrenwechseln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§ 17 Abs. 1 in Kraft tritt, ist durch die Sächsische Staatskanzlei im Sächsischen Gesetz- und Verordnungsblatt bekannt zu machen.</w:t>
      </w:r>
    </w:p>
    <w:p>
      <w:r>
        <w:t xml:space="preserve">Dresden, den 23. September 2010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Der Staatsminister der Finanzen</w:t>
      </w:r>
    </w:p>
    <w:p>
      <w:r>
        <w:t xml:space="preserve">Prof. Dr. Georg Unland</w:t>
      </w:r>
    </w:p>
    <w:p>
      <w:r>
        <w:rPr>
          <w:color w:val="555555"/>
          <w:sz w:val="17"/>
        </w:rPr>
        <w:t xml:space="preserve">Zitiervorschlag: Artikel 2 SN-11506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https://recht.nulegal.eu/gesetze/SN-11506/2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