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 SN-11506 (Sachsen)</w:t>
      </w:r>
    </w:p>
    <w:p>
      <w:r>
        <w:rPr>
          <w:color w:val="555555"/>
          <w:sz w:val="18"/>
        </w:rPr>
        <w:t xml:space="preserve">Gesetz zum Staatsvertrag über die Verteilung von Versorgungslasten bei bund- und länderübergreifenden Dienstherrenwechseln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am 26. Januar 2010 zwischen den Ländern und der Bundesrepublik Deutschland geschlossenen Staatsvertrag über die Verteilung von Versorgungslasten bei bund- und länderübergreifenden Dienstherrenwechseln (Versorgungslastenteilungs-Staatsvertrag) wird zugestimmt.</w:t>
      </w:r>
    </w:p>
    <w:p>
      <w:r>
        <w:t xml:space="preserve">(2) Der Staatsvertrag wird nachstehend veröffentlicht.</w:t>
      </w:r>
    </w:p>
    <w:p>
      <w:r>
        <w:rPr>
          <w:color w:val="555555"/>
          <w:sz w:val="17"/>
        </w:rPr>
        <w:t xml:space="preserve">Zitiervorschlag: Artikel 1 SN-11506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https://recht.nulegal.eu/gesetze/SN-11506/1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