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SN-11402 (Sachsen) — Mitglieder</w:t>
      </w:r>
    </w:p>
    <w:p>
      <w:r>
        <w:rPr>
          <w:color w:val="555555"/>
          <w:sz w:val="18"/>
        </w:rPr>
        <w:t xml:space="preserve">Staatsvertrag über die Einrichtung eines nationalen Mechanismus aller Länder nach Artikel 3 des Fakultativprotokolls vom 18. Dezember 2002 zu dem Übereinkommen der Vereinten Nationen gegen Folter und andere grausame, unmenschliche oder erniedrigende Behandlung oder Strafe</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Kommission besteht aus vier Mitgliedern, die ehrenamtlich tätig sind. Die Mitglieder sind unabhängig und keinen Weisungen unterworfen. Die Zahl der Kommissionsmitglieder kann durch einstimmigen Beschluss der Konferenz der Justizministerinnen und Justizminister (Justizministerkonferenz) geändert werden.</w:t>
      </w:r>
    </w:p>
    <w:p>
      <w:r>
        <w:t xml:space="preserve">(2) Die Kommissionsmitglieder werden von der Justizministerkonferenz für eine Amtszeit von vier Jahren ernannt. Abweichend hiervon werden bei der Ernennung der ersten vier Kommissionsmitglieder zwei Mitglieder für vier Jahre und zwei Mitglieder für zwei Jahre ernannt. Eine erneute Ernennung ist möglich. Sie können ihr Amt jederzeit niederlegen. Ein Kommissionsmitglied kann vor Ablauf seiner Amtszeit gegen seinen Willen nur unter den Voraussetzungen der §§ 21 und 24 des Deutschen Richtergesetzes durch einstimmigen Beschluss der Justizministerkonferenz abberufen werden. In diesen Fällen ernennt die Justizministerkonferenz einen Nachfolger für die verbleibende Amtszeit.</w:t>
      </w:r>
    </w:p>
    <w:p>
      <w:r>
        <w:t xml:space="preserve">(3) Die Kommission gibt ihre Berichte und Empfehlungen einheitlich ab. Den Vorsitz der Kommission führt ein Mitglied der Kommission, das jeweils auf zwei Jahre von der Justizministerkonferenz ernannt wird. Eine erneute Ernennung ist möglich.</w:t>
      </w:r>
    </w:p>
    <w:p>
      <w:r>
        <w:t xml:space="preserve">(4) Die Mitglieder der Kommission sollen Personen von anerkanntem Sachverstand auf dem Gebiet des Justiz- oder Maßregelvollzugs, der Polizei, der Psychiatrie, der Kriminologie oder vergleichbarer Gebiete sein. Bei der Besetzung der Kommission soll darauf geachtet werden, dass Mitglieder mit Sachverstand aus unterschiedlichen Fachgebieten vertreten sind. Auf eine ausgewogene Vertretung der Geschlechter ist zu achten. Die Mitglieder der Kommission sollen bei der Ernennung nicht älter als 70 Jahre sein.</w:t>
      </w:r>
    </w:p>
    <w:p>
      <w:r>
        <w:t xml:space="preserve">(5) Die Mitglieder der Kommission erhalten Aufwendungs- und Kostenersatz nach den Vorschriften des Bundesreisekostengesetzes .</w:t>
      </w:r>
    </w:p>
    <w:p>
      <w:r>
        <w:rPr>
          <w:color w:val="555555"/>
          <w:sz w:val="17"/>
        </w:rPr>
        <w:t xml:space="preserve">Zitiervorschlag: Artikel 4 SN-11402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https://recht.nulegal.eu/gesetze/SN-11402/4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