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SN-11401 (Sachsen)</w:t>
      </w:r>
    </w:p>
    <w:p>
      <w:r>
        <w:rPr>
          <w:color w:val="555555"/>
          <w:sz w:val="18"/>
        </w:rPr>
        <w:t xml:space="preserve">Gesetz zu dem 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11 Satz 2 in Kraft tritt, ist durch die Staatskanzlei im Sächsischen Gesetz- und Verordnungsblatt bekannt zu machen.</w:t>
      </w:r>
    </w:p>
    <w:p>
      <w:r>
        <w:t xml:space="preserve">Dresden, den 12. Mai 2010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Justiz und für Europa</w:t>
      </w:r>
    </w:p>
    <w:p>
      <w:r>
        <w:t xml:space="preserve">In Vertretung</w:t>
      </w:r>
    </w:p>
    <w:p>
      <w:r>
        <w:t xml:space="preserve">Sven Morlok</w:t>
      </w:r>
    </w:p>
    <w:p>
      <w:r>
        <w:t xml:space="preserve">Staatsminister</w:t>
      </w:r>
    </w:p>
    <w:p>
      <w:r>
        <w:rPr>
          <w:color w:val="555555"/>
          <w:sz w:val="17"/>
        </w:rPr>
        <w:t xml:space="preserve">Zitiervorschlag: Artikel 2 SN-11401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