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SN-10946 (Sachsen) — Stetigförderer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Unbeschadet des § 4 und anderer Rechtsvorschriften hat der Unternehmer bei Stetigförderern vor deren Inbetriebnahme, nach jeder wesentlichen Änderung und nachfolgend alle zwei Jahre die Sicherheits-, Schutz- und Überwachungseinrichtungen durch sachkundige Personen im Sinne von § 4 Abs. 2 prüfen zu lassen. Der Unternehmer hat nach Maßgabe des Instandhaltungsplans nach § 17 Abs. 3 Satz 3 ABBergV monatlich Prüfungen durch sachkundige Personen im Sinne von § 4 Abs. 2 durchführen zu lassen. Die Prüfungen nach Satz 2 können abweichend von § 4 Abs. 1 durch hierfür gemäß § 6 Abs. 2 ABBergV unterwiesene Beschäftigte durchgeführt werden.</w:t>
      </w:r>
    </w:p>
    <w:p>
      <w:r>
        <w:t xml:space="preserve">(2) Alle Arbeiten im Gefahrenbereich betriebener Stetigförderer, das Mitfahren von Personen und das Transportieren von Arbeitsmitteln, Ausrüstungen und sonstigen Gegenständen auf Stetigförderern sind verboten. Das Über- und Unterqueren ist nur an zugelassenen Stellen oder bei stehendem und gegen Wiederanfahren gesichertem Stetigförderer gestattet.</w:t>
      </w:r>
    </w:p>
    <w:p>
      <w:r>
        <w:t xml:space="preserve">(3) Vor Beginn von Wartungs-, Instandhaltungs- und Instandsetzungsarbeiten sowie bei Arbeiten zur Behebung von Störungen und Gefahren sind Stetigförderer still zu setzen, so dass ein unbefugtes, unbeabsichtigtes oder irrtümliches Inbetriebnehmen während dieser Arbeiten nicht möglich ist.</w:t>
      </w:r>
    </w:p>
    <w:p>
      <w:r>
        <w:rPr>
          <w:color w:val="555555"/>
          <w:sz w:val="17"/>
        </w:rPr>
        <w:t xml:space="preserve">Zitiervorschlag: § 40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