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SN-10946 (Sachsen) — Schwimmende Geräte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Unbeschadet des § 4 und anderer Rechtsvorschriften hat der Unternehmer bei schwimmenden Geräten und damit in Verbindung stehenden Förderanlagen vor deren Inbetriebnahme, nach jeder wesentlichen Änderung und nachfolgend alle vier Jahre die Schwimm- und Kentersicherheit, die Haupttragkonstruktion, die Anker-, Verhol- und Rettungseinrichtungen sowie die Isolationswerte der elektrischen Einrichtungen von einem Sachverständigen oder einer sachverständigen Stelle prüfen zu lassen.</w:t>
      </w:r>
    </w:p>
    <w:p>
      <w:r>
        <w:t xml:space="preserve">(2) Der Unternehmer hat nach Maßgabe des Instandhaltungsplans nach § 17 Abs. 3 Satz 3 ABBergV monatlich Prüfungen durch sachkundige Personen im Sinne von § 4 Abs. 2 durchführen zu lassen. Die Prüfungen können abweichend von § 4 Abs. 1 durch hierfür gemäß § 6 Abs. 2 ABBergV unterwiesene Beschäftigte durchgeführt werden.</w:t>
      </w:r>
    </w:p>
    <w:p>
      <w:r>
        <w:rPr>
          <w:color w:val="555555"/>
          <w:sz w:val="17"/>
        </w:rPr>
        <w:t xml:space="preserve">Zitiervorschlag: § 39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