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SN-10946 (Sachsen) — Besondere Aufzeichnungen</w:t>
      </w:r>
    </w:p>
    <w:p>
      <w:r>
        <w:rPr>
          <w:color w:val="555555"/>
          <w:sz w:val="18"/>
        </w:rPr>
        <w:t xml:space="preserve">Sächsische Bergverordnung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Unternehmer hat dafür Sorge zu tragen, dass für die elektrischen Anlagen und elektrischen Arbeitsmittel Kurzschlussberechnungen oder gleichwertige Nachweise sowie für Hoch- und Niederspannungsnetze Übersichtsschaltpläne vorhanden sind. Der Unternehmer hat dafür Sorge zu tragen, dass bei explosionsgeschützten elektrischen Arbeitsmitteln mit Fertigungsnummer Angaben über Hersteller, Bauartbezeichnung, Fertigungsnummer, Nenndaten und Instandsetzungsarbeiten vorhanden sind. Satz 2 findet keine Anwendung auf Arbeitsmittel kleiner Bauart, an denen Instandsetzungsarbeiten üblicherweise nicht vorgenommen werden.</w:t>
      </w:r>
    </w:p>
    <w:p>
      <w:r>
        <w:rPr>
          <w:color w:val="555555"/>
          <w:sz w:val="17"/>
        </w:rPr>
        <w:t xml:space="preserve">Zitiervorschlag: § 21 SN-10946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https://recht.nulegal.eu/gesetze/SN-10946/21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