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SN-10946 (Sachsen) — Verkehrssprache</w:t>
      </w:r>
    </w:p>
    <w:p>
      <w:r>
        <w:rPr>
          <w:color w:val="555555"/>
          <w:sz w:val="18"/>
        </w:rPr>
        <w:t xml:space="preserve">Sächsische Bergverordnung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Unternehmer hat für Einrichtungen, in denen Personen mit unterschiedlicher Muttersprache beschäftigt werden, eine einheitliche Verkehrssprache festzulegen und sicherzustellen, dass</w:t>
      </w:r>
    </w:p>
    <w:p>
      <w:r>
        <w:t xml:space="preserve">1. nur Beschäftigte mit selbständigen Arbeiten betraut werden, die in der Verkehrssprache gegebene Weisungen richtig auffassen und sich in dieser Sprache eindeutig verständlich machen können,</w:t>
      </w:r>
    </w:p>
    <w:p>
      <w:r>
        <w:t xml:space="preserve">2. verantwortliche Personen und weisungsberechtigte Personen die Verkehrssprache beherrschen und Deutsch sprechen, Deutsch lesen und Deutsch schreiben können.</w:t>
      </w:r>
    </w:p>
    <w:p>
      <w:r>
        <w:rPr>
          <w:color w:val="555555"/>
          <w:sz w:val="17"/>
        </w:rPr>
        <w:t xml:space="preserve">Zitiervorschlag: § 2 SN-10946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https://recht.nulegal.eu/gesetze/SN-10946/2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