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SN-10946 (Sachsen) — Signale im Fahr- und Förderbetrieb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Fahr- und Förderbetrieb gelten, soweit nicht Fertigsignalanlagen verwendet werden, folgende Ausführungssignale:</w:t>
      </w:r>
    </w:p>
    <w:p>
      <w:r>
        <w:t xml:space="preserve">Ausführungssignale Laufende Nummer Hörbare Signale = Ton</w:t>
      </w:r>
    </w:p>
    <w:p>
      <w:r>
        <w:t xml:space="preserve">1. Hörbare Signale:</w:t>
      </w:r>
    </w:p>
    <w:p>
      <w:r>
        <w:t xml:space="preserve">„Halt“ = 1 Schlag oder 1 Ton</w:t>
      </w:r>
    </w:p>
    <w:p>
      <w:r>
        <w:t xml:space="preserve">„Auf“ oder „Vorwärts“ = 2 Schläge oder 2 Töne</w:t>
      </w:r>
    </w:p>
    <w:p>
      <w:r>
        <w:t xml:space="preserve">„Hängen“ oder „Rückwärts“ = 3 Schläge oder 3 Töne,</w:t>
      </w:r>
    </w:p>
    <w:p>
      <w:r>
        <w:t xml:space="preserve">2. Signale mit feststehender Leuchte:</w:t>
      </w:r>
    </w:p>
    <w:p>
      <w:r>
        <w:t xml:space="preserve">„Halt“ = 1 mal ausschalten</w:t>
      </w:r>
    </w:p>
    <w:p>
      <w:r>
        <w:t xml:space="preserve">„Auf“ oder „Vorwärts“ = 2 mal kurz ausschalten</w:t>
      </w:r>
    </w:p>
    <w:p>
      <w:r>
        <w:t xml:space="preserve">„Hängen“ oder „Rückwärts“ = 3 mal kurz ausschalten.</w:t>
      </w:r>
    </w:p>
    <w:p>
      <w:r>
        <w:t xml:space="preserve">In Anlagen nach § 27 Nr. 1 sind stets hörbare Signale erforderlich.</w:t>
      </w:r>
    </w:p>
    <w:p>
      <w:r>
        <w:t xml:space="preserve">(2) Sonstige Ausführungssignale sowie Ankündigungs- und Meldesignale sind vom Unternehmer für den Förderbetrieb einheitlich festzulegen.</w:t>
      </w:r>
    </w:p>
    <w:p>
      <w:r>
        <w:rPr>
          <w:color w:val="555555"/>
          <w:sz w:val="17"/>
        </w:rPr>
        <w:t xml:space="preserve">Zitiervorschlag: § 18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