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SN-10742 (Sachsen)</w:t>
      </w:r>
    </w:p>
    <w:p>
      <w:r>
        <w:rPr>
          <w:color w:val="555555"/>
          <w:sz w:val="18"/>
        </w:rPr>
        <w:t xml:space="preserve">Sächsische Straßenunterhaltungs- und -instandsetzungsverordnung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48 Abs. 5 und § 50a Abs. 2 in Verbindung mit § 48 Abs. 5 des Straßengesetzes für den Freistaat Sachsen (Sächsisches Straßengesetz – SächsStrG) vom 21. Januar 1993 (SächsGVBl. S. 93), das zuletzt durch Artikel 34 des Gesetzes vom 29. Januar 2008 (SächsGVBl. S. 138, 165) geändert worden ist, wird verordnet:</w:t>
      </w:r>
    </w:p>
    <w:p>
      <w:r>
        <w:rPr>
          <w:color w:val="555555"/>
          <w:sz w:val="17"/>
        </w:rPr>
        <w:t xml:space="preserve">Zitiervorschlag: Eingangsformel SN-10742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https://recht.nulegal.eu/gesetze/SN-10742/eingangsformel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