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SN-1068 (Sachsen) — Inkrafttreten</w:t>
      </w:r>
    </w:p>
    <w:p>
      <w:r>
        <w:rPr>
          <w:color w:val="555555"/>
          <w:sz w:val="18"/>
        </w:rPr>
        <w:t xml:space="preserve">Sächsisches Gesetz zur Durchführung des Medienstaatsvertrages und des Rundfunkbeitragsstaatsvertrages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Januar 1992 in Kraft. Das vorstehende Gesetz wird hiermit ausgefertigt und ist zu verkünden.</w:t>
      </w:r>
    </w:p>
    <w:p>
      <w:r>
        <w:t xml:space="preserve">Dresden, den 19. Dezember 1991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der Staatskanzlei</w:t>
      </w:r>
    </w:p>
    <w:p>
      <w:r>
        <w:t xml:space="preserve">Arnold Vaatz</w:t>
      </w:r>
    </w:p>
    <w:p>
      <w:r>
        <w:rPr>
          <w:color w:val="555555"/>
          <w:sz w:val="17"/>
        </w:rPr>
        <w:t xml:space="preserve">Zitiervorschlag: § 5 SN-1068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https://recht.nulegal.eu/gesetze/SN-1068/5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