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SN-1068 (Sachsen) — Rundfunkvermögen</w:t>
      </w:r>
    </w:p>
    <w:p>
      <w:r>
        <w:rPr>
          <w:color w:val="555555"/>
          <w:sz w:val="18"/>
        </w:rPr>
        <w:t xml:space="preserve">Sächsisches Gesetz zur Durchführung des Medienstaatsvertrages und des Rundfunkbeitragsstaatsvertrages</w:t>
      </w:r>
    </w:p>
    <w:p>
      <w:r>
        <w:rPr>
          <w:color w:val="555555"/>
          <w:sz w:val="18"/>
        </w:rPr>
        <w:t xml:space="preserve">Landesrecht Sachsen</w:t>
      </w:r>
    </w:p>
    <w:p>
      <w:r>
        <w:rPr>
          <w:color w:val="555555"/>
          <w:sz w:val="18"/>
        </w:rPr>
        <w:t xml:space="preserve">Stand: 26.08.2026 (konsolidierte Textfassung, kein amtliches Inkrafttretensdatum)</w:t>
      </w:r>
    </w:p>
    <w:p>
      <w:r>
        <w:t xml:space="preserve">Der nach Artikel 36 Abs. 6 des Vertrags zwischen der Bundesrepublik Deutschland und der Deutschen Demokratischen Republik über die Herstellung der Einheit Deutschlands – Einigungsvertrag – vom 31. August 1990 in Verbindung mit Artikel 1 des Gesetzes vom 23. September 1990 (BGBl. II S. 885) dem Freistaat Sachsen zustehende Anteil an der in Artikel 36 Abs. 1 des Einigungsvertrags genannten Einrichtung geht, einschließlich des Anteils an der Studiotechnik, kraft dieses Gesetzes vom Freistaat Sachsen auf den Mitteldeutschen Rundfunk über, sobald der Freistaat Sachsen über diesen Anteil verfügen kann. Davon ausgenommen sind die Anteile an den in Artikel 36 Abs. 1 Satz 3 des Einigungsvertrags genannten Liegenschaften sowie die sich aus arbeitsgerichtlichen Verfahren eventuell ergebenden Verpflichtungen. Die Liegenschaften sind hauptsächlich für kulturelle Zwecke in Sachsen zu verwerten. § 46 Abs. 3 des Gesetzes über den privaten Rundfunk und neue Medien in Sachsen ( Sächsisches Privatrundfunkgesetz – SächsPRG) vom 27. Juni 1991 (SächsGVBl. S. 178) bleibt unberührt; der Anspruch ist zunächst aus dem nach Satz 1 übergehenden Reinvermögen zu befriedigen.</w:t>
      </w:r>
    </w:p>
    <w:p>
      <w:r>
        <w:rPr>
          <w:color w:val="555555"/>
          <w:sz w:val="17"/>
        </w:rPr>
        <w:t xml:space="preserve">Zitiervorschlag: § 4 SN-1068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https://recht.nulegal.eu/gesetze/SN-1068/4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