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SN-10581 (Sachsen) — Verordnung</w:t>
      </w:r>
    </w:p>
    <w:p>
      <w:r>
        <w:rPr>
          <w:color w:val="555555"/>
          <w:sz w:val="18"/>
        </w:rPr>
        <w:t xml:space="preserve">Verordnung des Sächsischen Staatsministeriums der Justiz und für Europa zu Mitteilungen in Nachlasssachen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des Sächsischen Staatsministeriums</w:t>
      </w:r>
    </w:p>
    <w:p>
      <w:r>
        <w:t xml:space="preserve">der Justiz und für Europa</w:t>
      </w:r>
    </w:p>
    <w:p>
      <w:r>
        <w:t xml:space="preserve">zu Mitteilungen in Nachlasssachen</w:t>
      </w:r>
    </w:p>
    <w:p>
      <w:r>
        <w:t xml:space="preserve">(MiNaVO)</w:t>
      </w:r>
    </w:p>
    <w:p>
      <w:r>
        <w:rPr>
          <w:color w:val="555555"/>
          <w:sz w:val="17"/>
        </w:rPr>
        <w:t xml:space="preserve">Zitiervorschlag: Volltext SN-10581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https://recht.nulegal.eu/gesetze/SN-10581/volltext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