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SN-10581 (Sachsen) — Art und Umfang der Mitteilungen</w:t>
      </w:r>
    </w:p>
    <w:p>
      <w:r>
        <w:rPr>
          <w:color w:val="555555"/>
          <w:sz w:val="18"/>
        </w:rPr>
        <w:t xml:space="preserve">Verordnung des Sächsischen Staatsministeriums der Justiz und für Europa zu Mitteilungen in Nachlasssachen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Mitteilungen an das Gericht oder den Notar nach § 347 Abs. 4 Satz 2 des Gesetzes über das Verfahren in Familiensachen und in den Angelegenheiten der freiwilligen Gerichtsbarkeit ( FamFG ) vom 17. Dezember 2008 (BGBl. I S. 2586, 2587), das zuletzt durch Artikel 4 des Gesetzes vom 15. März 2012 (BGBl. II S. 178) geändert worden ist, in der jeweils geltenden Fassung, enthalten</w:t>
      </w:r>
    </w:p>
    <w:p>
      <w:r>
        <w:t xml:space="preserve">1. Geburtsname, Vornamen und Familiennamen, auch frühere, des Erblassers,</w:t>
      </w:r>
    </w:p>
    <w:p>
      <w:r>
        <w:t xml:space="preserve">2. Geburtstag und Geburtsort des Erblassers,</w:t>
      </w:r>
    </w:p>
    <w:p>
      <w:r>
        <w:t xml:space="preserve">3. den letzten Wohnort des Erblassers und</w:t>
      </w:r>
    </w:p>
    <w:p>
      <w:r>
        <w:t xml:space="preserve">4. soweit sie Urkunden betreffen, die zu verwahren sind, das Datum der Inverwahrnahme und die Geschäftsnummer oder die Urkundsnummer der verwahrenden Stelle.</w:t>
      </w:r>
    </w:p>
    <w:p>
      <w:r>
        <w:t xml:space="preserve">(2) Für die Mitteilungen sind die amtlichen Vordrucke zu verwenden, die vom Staatsministerium der Justiz und für Europa im Einvernehmen mit dem Staatsministerium des Innern festgelegt werden.</w:t>
      </w:r>
    </w:p>
    <w:p>
      <w:r>
        <w:rPr>
          <w:color w:val="555555"/>
          <w:sz w:val="17"/>
        </w:rPr>
        <w:t xml:space="preserve">Zitiervorschlag: § 1 SN-10581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https://recht.nulegal.eu/gesetze/SN-10581/1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