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SN-10489 (Sachsen)</w:t>
      </w:r>
    </w:p>
    <w:p>
      <w:r>
        <w:rPr>
          <w:color w:val="555555"/>
          <w:sz w:val="18"/>
        </w:rPr>
        <w:t xml:space="preserve">Verordnung der Sächsischen Staatsregierung zur Übertragung von Ermächtigungen zum Erlass von Rechtsverordnungen auf dem Gebiet des Personenstandswesens und des Familienrechts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27. Oktober 2008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des Innern</w:t>
      </w:r>
    </w:p>
    <w:p>
      <w:r>
        <w:t xml:space="preserve">In Vertretung</w:t>
      </w:r>
    </w:p>
    <w:p>
      <w:r>
        <w:t xml:space="preserve">Geert Mackenroth</w:t>
      </w:r>
    </w:p>
    <w:p>
      <w:r>
        <w:t xml:space="preserve">Staatsminister</w:t>
      </w:r>
    </w:p>
    <w:p>
      <w:r>
        <w:rPr>
          <w:color w:val="555555"/>
          <w:sz w:val="17"/>
        </w:rPr>
        <w:t xml:space="preserve">Zitiervorschlag: § 2 SN-10489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https://recht.nulegal.eu/gesetze/SN-10489/2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