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SN-10367 (Sachsen) — Inkrafttreten</w:t>
      </w:r>
    </w:p>
    <w:p>
      <w:r>
        <w:rPr>
          <w:color w:val="555555"/>
          <w:sz w:val="18"/>
        </w:rPr>
        <w:t xml:space="preserve">Verordnung des Regierungspräsidiums Leipzig zur Teilaufhebung des Landschaftsschutzgebietes „Parthenaue - Machern“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Diese Verordnung tritt am 31. Juli 2008 in Kraft.</w:t>
      </w:r>
    </w:p>
    <w:p>
      <w:r>
        <w:t xml:space="preserve">(2) Mit Inkrafttreten dieser Verordnung treten außer Kraft:</w:t>
      </w:r>
    </w:p>
    <w:p>
      <w:r>
        <w:t xml:space="preserve">Beschluss 13-3/63 des Rates des Bezirkes Leipzig vom 15. Februar 1963 (MittBl. BT und RdB Leipzig Nr. 2), und</w:t>
      </w:r>
    </w:p>
    <w:p>
      <w:r>
        <w:t xml:space="preserve">Beschluss 68/VIII/84 des Bezirkstages Leipzig vom 20. September 1984,</w:t>
      </w:r>
    </w:p>
    <w:p>
      <w:r>
        <w:t xml:space="preserve">soweit diese beiden Beschlüsse sich auf Flächen der in § 2 dieser Verordnung benannten Gebiete beziehen.</w:t>
      </w:r>
    </w:p>
    <w:p>
      <w:r>
        <w:t xml:space="preserve">Leipzig, den 27. Juni 2008</w:t>
      </w:r>
    </w:p>
    <w:p>
      <w:r>
        <w:t xml:space="preserve">Regierungspräsidium Leipzig</w:t>
      </w:r>
    </w:p>
    <w:p>
      <w:r>
        <w:t xml:space="preserve">Steinbach</w:t>
      </w:r>
    </w:p>
    <w:p>
      <w:r>
        <w:t xml:space="preserve">Regierungspräsident</w:t>
      </w:r>
    </w:p>
    <w:p>
      <w:r>
        <w:rPr>
          <w:color w:val="555555"/>
          <w:sz w:val="17"/>
        </w:rPr>
        <w:t xml:space="preserve">Zitiervorschlag: § 3 SN-10367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https://recht.nulegal.eu/gesetze/SN-10367/3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