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SN-10367 (Sachsen) — Aufhebungsgegenstand</w:t>
      </w:r>
    </w:p>
    <w:p>
      <w:r>
        <w:rPr>
          <w:color w:val="555555"/>
          <w:sz w:val="18"/>
        </w:rPr>
        <w:t xml:space="preserve">Verordnung des Regierungspräsidiums Leipzig zur Teilaufhebung des Landschaftsschutzgebietes „Parthenaue - Machern“</w:t>
      </w:r>
    </w:p>
    <w:p>
      <w:r>
        <w:rPr>
          <w:color w:val="555555"/>
          <w:sz w:val="18"/>
        </w:rPr>
        <w:t xml:space="preserve">Landesrecht Sachsen</w:t>
      </w:r>
    </w:p>
    <w:p>
      <w:r>
        <w:rPr>
          <w:color w:val="555555"/>
          <w:sz w:val="18"/>
        </w:rPr>
        <w:t xml:space="preserve">Stand: 26.08.2026 (konsolidierte Textfassung, kein amtliches Inkrafttretensdatum)</w:t>
      </w:r>
    </w:p>
    <w:p>
      <w:r>
        <w:t xml:space="preserve">Die Aufhebungsfläche umfasst nach dem Stand vom 27. Juni 2008 die Schutzgebietsflächen auf dem Gebiet des Landkreises Delitzsch, die mit Datum vom 7. Dezember 2005 als Landschaftsschutzgebiet „Endmoränenlandschaft zwischen Taucha und Eilenburg“ (lokal verkündet) festgesetzt wurden. Weiterhin umfasst die Aufhebungsfläche auf dem Gebiet des Landkreises Muldentalkreis, die mit Datum vom 27. September 2007 als Landschaftsschutzgebiet „Lübschützer Teiche-Tresenwald“ (SächsGVBl. S. 528) festgesetzten Schutzgebietsflächen.</w:t>
      </w:r>
    </w:p>
    <w:p>
      <w:r>
        <w:rPr>
          <w:color w:val="555555"/>
          <w:sz w:val="17"/>
        </w:rPr>
        <w:t xml:space="preserve">Zitiervorschlag: § 2 SN-10367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https://recht.nulegal.eu/gesetze/SN-10367/2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