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SN-10366 (Sachsen)</w:t>
      </w:r>
    </w:p>
    <w:p>
      <w:r>
        <w:rPr>
          <w:color w:val="555555"/>
          <w:sz w:val="18"/>
        </w:rPr>
        <w:t xml:space="preserve">Verordnung des Regierungspräsidiums Dresden über die Bestimmung von Ausflugsorten mit besonderem Besucheraufkommen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7 Abs. 3 Satz 1 in Verbindung mit § 14 Abs. 1 des Sächsischen Gesetzes über die Ladenöffnungszeiten (Sächsisches Ladenöffnungsgesetz – SächsLadÖffG ) vom 16. März 2007 (SächsGVBl. S. 42), das zuletzt durch Gesetz vom 17. April 2008 (SächsGVBl. S. 274) geändert worden ist, wird verordnet:</w:t>
      </w:r>
    </w:p>
    <w:p>
      <w:r>
        <w:rPr>
          <w:color w:val="555555"/>
          <w:sz w:val="17"/>
        </w:rPr>
        <w:t xml:space="preserve">Zitiervorschlag: Eingangsformel SN-10366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https://recht.nulegal.eu/gesetze/SN-10366/eingangsformel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