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SN-10366 (Sachsen) — Übergangsbestimmung</w:t>
      </w:r>
    </w:p>
    <w:p>
      <w:r>
        <w:rPr>
          <w:color w:val="555555"/>
          <w:sz w:val="18"/>
        </w:rPr>
        <w:t xml:space="preserve">Verordnung des Regierungspräsidiums Dresden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in Nummer 2 der Anlage 1 zu § 1 der Verordnung der Sächsischen Staatsregierung über die Ladenschlusszeiten in Kur-, Erholungs-, Ausflugs- und Wallfahrtsorten sowie auf bestimmten Flughäfen und Bahnhöfen (Ladenschlussverordnung – LSchlVO ) vom 20. April 2006 (SächsGVBl. S. 98, 459) genannten Ausflugsorte findet § 7 Abs. 2 SächsLadÖffG weiter Anwendung.</w:t>
      </w:r>
    </w:p>
    <w:p>
      <w:r>
        <w:rPr>
          <w:color w:val="555555"/>
          <w:sz w:val="17"/>
        </w:rPr>
        <w:t xml:space="preserve">Zitiervorschlag: § 2 SN-10366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