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SN-1033 (Sachsen)</w:t>
      </w:r>
    </w:p>
    <w:p>
      <w:r>
        <w:rPr>
          <w:color w:val="555555"/>
          <w:sz w:val="18"/>
        </w:rPr>
        <w:t xml:space="preserve">Gesetz zur Übertragung des Ernennungsrechts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12. September 1996 das folgende Gesetz beschlossen:</w:t>
      </w:r>
    </w:p>
    <w:p>
      <w:r>
        <w:rPr>
          <w:color w:val="555555"/>
          <w:sz w:val="17"/>
        </w:rPr>
        <w:t xml:space="preserve">Zitiervorschlag: Eingangsformel SN-1033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https://recht.nulegal.eu/gesetze/SN-1033/eingangsformel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