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SN-10240 (Sachsen) — Übersichtskarte</w:t>
      </w:r>
    </w:p>
    <w:p>
      <w:r>
        <w:rPr>
          <w:color w:val="555555"/>
          <w:sz w:val="18"/>
        </w:rPr>
        <w:t xml:space="preserve">Verordnung des Regierungspräsidiums Chemnitz zur Festsetzung des Naturschutzgebietes „Fichtelberg“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Flurkarte Teilfläche 1</w:t>
      </w:r>
    </w:p>
    <w:p>
      <w:r>
        <w:t xml:space="preserve">Flurkarte Teilfläche 2</w:t>
      </w:r>
    </w:p>
    <w:p>
      <w:r>
        <w:t xml:space="preserve">Flurkarte Teilflächen 3, 4, 5</w:t>
      </w:r>
    </w:p>
    <w:p>
      <w:r>
        <w:t xml:space="preserve">Flurkarte Teilfläche 6</w:t>
      </w:r>
    </w:p>
    <w:p>
      <w:r>
        <w:rPr>
          <w:color w:val="555555"/>
          <w:sz w:val="17"/>
        </w:rPr>
        <w:t xml:space="preserve">Zitiervorschlag: Volltext SN-10240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https://recht.nulegal.eu/gesetze/SN-10240/volltext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