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SN-10240 (Sachsen) — Inkrafttreten</w:t>
      </w:r>
    </w:p>
    <w:p>
      <w:r>
        <w:rPr>
          <w:color w:val="555555"/>
          <w:sz w:val="18"/>
        </w:rPr>
        <w:t xml:space="preserve">Verordnung des Regierungspräsidiums Chemnitz zur Festsetzung des Naturschutzgebietes „Fichtelberg“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Ihrer Verkündung in Kraft.</w:t>
      </w:r>
    </w:p>
    <w:p>
      <w:r>
        <w:t xml:space="preserve">Chemnitz, den 11. Juni 2008</w:t>
      </w:r>
    </w:p>
    <w:p>
      <w:r>
        <w:t xml:space="preserve">Regierungspräsidium Chemnitz</w:t>
      </w:r>
    </w:p>
    <w:p>
      <w:r>
        <w:t xml:space="preserve">Noltze Regierungspräsident</w:t>
      </w:r>
    </w:p>
    <w:p>
      <w:r>
        <w:rPr>
          <w:color w:val="555555"/>
          <w:sz w:val="17"/>
        </w:rPr>
        <w:t xml:space="preserve">Zitiervorschlag: § 11 SN-10240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https://recht.nulegal.eu/gesetze/SN-10240/11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