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SN-10240 (Sachsen) — Übergangsregelung</w:t>
      </w:r>
    </w:p>
    <w:p>
      <w:r>
        <w:rPr>
          <w:color w:val="555555"/>
          <w:sz w:val="18"/>
        </w:rPr>
        <w:t xml:space="preserve">Verordnung des Regierungspräsidiums Chemnitz zur Festsetzung des Naturschutzgebietes „Fichtelberg“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Maßnahmen einer Anzeigepflicht nach § 6 Nr. 3 unterliegen, die bis zum Inkrafttreten dieser Verordnung verfahrensfrei waren, dürfen diese Maßnahmen bis zum 1. November 2008 in der bisherigen Art und im bisherigen Umfang ohne Erstattung einer Anzeige durchgeführt werden.</w:t>
      </w:r>
    </w:p>
    <w:p>
      <w:r>
        <w:rPr>
          <w:color w:val="555555"/>
          <w:sz w:val="17"/>
        </w:rPr>
        <w:t xml:space="preserve">Zitiervorschlag: § 10 SN-10240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https://recht.nulegal.eu/gesetze/SN-10240/10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