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SN-10227 (Sachsen) — Zulässige Handlungen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gilt nicht</w:t>
      </w:r>
    </w:p>
    <w:p>
      <w:r>
        <w:t xml:space="preserve">1. für die umweltgerechte Forstwirtschaft mit der Maßgabe, dass nach der Entlassung aus der bergrechtlichen Aufsicht</w:t>
      </w:r>
    </w:p>
    <w:p>
      <w:r>
        <w:t xml:space="preserve">1.1</w:t>
      </w:r>
    </w:p>
    <w:p>
      <w:r>
        <w:t xml:space="preserve">Veränderungen der Größe, Struktur und Beschaffenheit der Forstflächen, insbesondere durch Rutschungen, Abbrüche, Überflutung und ähnliche natürliche Prozesse ohne Wiedereinrichtung oder Herstellen des vorherigen Zustandes hinzunehmen sind;</w:t>
      </w:r>
    </w:p>
    <w:p>
      <w:r>
        <w:t xml:space="preserve">1.2</w:t>
      </w:r>
    </w:p>
    <w:p>
      <w:r>
        <w:t xml:space="preserve">auf den übrigen Forstflächen nur eine dem Schutzzweck entsprechende Waldnutzung erfolgt;</w:t>
      </w:r>
    </w:p>
    <w:p>
      <w:r>
        <w:t xml:space="preserve">1.3</w:t>
      </w:r>
    </w:p>
    <w:p>
      <w:r>
        <w:t xml:space="preserve">Waldschutzmaßnahmen im Falle von Kalamitätsereignissen, die auf Waldbestände außerhalb des Schutzgebietes übergreifen und diese in ihrem Bestand bedrohen, erlaubt sind;</w:t>
      </w:r>
    </w:p>
    <w:p>
      <w:r>
        <w:t xml:space="preserve">2. für die Ausübung der Jagd mit der Maßgabe, dass</w:t>
      </w:r>
    </w:p>
    <w:p>
      <w:r>
        <w:t xml:space="preserve">2.1</w:t>
      </w:r>
    </w:p>
    <w:p>
      <w:r>
        <w:t xml:space="preserve">die Jagd auf Wasserfederwild im gesamten Gebiet nicht ausgeübt wird;</w:t>
      </w:r>
    </w:p>
    <w:p>
      <w:r>
        <w:t xml:space="preserve">2.2</w:t>
      </w:r>
    </w:p>
    <w:p>
      <w:r>
        <w:t xml:space="preserve">bei der Jagd ein Abstand von 50 m zur äußeren Grenze der Röhricht- und Wasserzonen eingehalten wird;</w:t>
      </w:r>
    </w:p>
    <w:p>
      <w:r>
        <w:t xml:space="preserve">2.3</w:t>
      </w:r>
    </w:p>
    <w:p>
      <w:r>
        <w:t xml:space="preserve">die gesetzlich vorgeschriebene Nachsuche und Bergung verletzten und krankgeschossenen Wildes keiner örtlichen Begrenzung unterliegt;</w:t>
      </w:r>
    </w:p>
    <w:p>
      <w:r>
        <w:t xml:space="preserve">2.4</w:t>
      </w:r>
    </w:p>
    <w:p>
      <w:r>
        <w:t xml:space="preserve">die Jagd grundsätzlich als Einzelansitzjagd erfolgt und Drückjagden nur im Zeitraum vom 1. November bis 31. Dezember im Einvernehmen mit der unteren Naturschutzbehörde durchgeführt werden;</w:t>
      </w:r>
    </w:p>
    <w:p>
      <w:r>
        <w:t xml:space="preserve">2.5</w:t>
      </w:r>
    </w:p>
    <w:p>
      <w:r>
        <w:t xml:space="preserve">das Anlegen von jagdlichen Einrichtungen nur im Einvernehmen mit der unteren Naturschutzbehörde erfolgt;</w:t>
      </w:r>
    </w:p>
    <w:p>
      <w:r>
        <w:t xml:space="preserve">3. für die dem Schutzzweck entsprechende ordnungsgemäße Beweidung auf den beweidbaren Flächen mit der Maßgabe, dass</w:t>
      </w:r>
    </w:p>
    <w:p>
      <w:r>
        <w:t xml:space="preserve">3.1</w:t>
      </w:r>
    </w:p>
    <w:p>
      <w:r>
        <w:t xml:space="preserve">alle die Beweidung betreffenden Maßnahmen nur nach einvernehmlicher Abstimmung mit der unteren Naturschutzbehörde durchgeführt werden;</w:t>
      </w:r>
    </w:p>
    <w:p>
      <w:r>
        <w:t xml:space="preserve">3.2</w:t>
      </w:r>
    </w:p>
    <w:p>
      <w:r>
        <w:t xml:space="preserve">§ 4 Abs. 2 Nr. 5, 6 und 11 unberührt bleiben;</w:t>
      </w:r>
    </w:p>
    <w:p>
      <w:r>
        <w:t xml:space="preserve">4. für die dem Schutzzweck entsprechende, umweltgerechte Ausübung der fischereilichen Hegepflicht;</w:t>
      </w:r>
    </w:p>
    <w:p>
      <w:r>
        <w:t xml:space="preserve">5. für die mit der höheren Naturschutzbehörde einvernehmlich abgestimmten Tätigkeiten im Rahmen wissenschaftlicher Forschungsarbeiten;</w:t>
      </w:r>
    </w:p>
    <w:p>
      <w:r>
        <w:t xml:space="preserve">6. für die behördlich angeordneten oder zulässigen Beschilderungen;</w:t>
      </w:r>
    </w:p>
    <w:p>
      <w:r>
        <w:t xml:space="preserve">7. für behördlich abgestimmte Schutz- und Pflegemaßnahmen;</w:t>
      </w:r>
    </w:p>
    <w:p>
      <w:r>
        <w:t xml:space="preserve">8. für die dem Schutzzweck entsprechende Unterhaltung der Gewässer mit der Maßgabe, dass die Unterhaltung und Pflege der wasserbaulichen Anlagen ökologisch verträglich und nur im Einvernehmen mit der unteren Naturschutzbehörde erfolgt;</w:t>
      </w:r>
    </w:p>
    <w:p>
      <w:r>
        <w:t xml:space="preserve">9. für die gesetzlich vorgesehenen Vermessungsarbeiten im Benehmen mit der unteren Naturschutzbehörde;</w:t>
      </w:r>
    </w:p>
    <w:p>
      <w:r>
        <w:t xml:space="preserve">10. für die sonstige, bisher rechtmäßig ausgeübte Nutzung der Grundstücke, Straßen und Wege sowie der rechtmäßig bestehenden Einrichtungen in der bisherigen Art und im bisherigen Umfang sowie deren Unterhaltung und Erhaltung;</w:t>
      </w:r>
    </w:p>
    <w:p>
      <w:r>
        <w:t xml:space="preserve">11. für die zur Umsetzung des zugelassenen bergrechtlichen Abschlussbetriebsplanes für den Tagebau Borna-Ost/Bockwitz erforderlichen Maßnahmen;</w:t>
      </w:r>
    </w:p>
    <w:p>
      <w:r>
        <w:t xml:space="preserve">12. für die Maßnahmen zur Umsetzung des wasserrechtlichen Planfeststellungsverfahrens Tagebau Borna-Ost/Bockwitz. 2</w:t>
      </w:r>
    </w:p>
    <w:p>
      <w:r>
        <w:rPr>
          <w:color w:val="555555"/>
          <w:sz w:val="17"/>
        </w:rPr>
        <w:t xml:space="preserve">Zitiervorschlag: § 5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