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SN-10192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„Jahna-Auenwälder“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</w:t>
      </w:r>
    </w:p>
    <w:p>
      <w:r>
        <w:t xml:space="preserve">die vorrangige Ausrichtung aller forstlichen Maßnahmen in den Auenwäldern auf das natürliche standörtliche Vegetationspotential sowie auf in ihrer räumlichen und zeitlichen Dynamik nach Alt- und Totholzanteil dem Schutzzweck entsprechende Bestände;</w:t>
      </w:r>
    </w:p>
    <w:p>
      <w:r>
        <w:t xml:space="preserve">die schrittweise Entnahme der gebietsfremden Hybridpappeln und die Förderung funktionell wirksamer Waldsäume;</w:t>
      </w:r>
    </w:p>
    <w:p>
      <w:r>
        <w:t xml:space="preserve">die pflegliche Nutzung des Auengrünlandes mittels einer an das Arteninventar angepassten, extensiven Bewirtschaftung;</w:t>
      </w:r>
    </w:p>
    <w:p>
      <w:r>
        <w:t xml:space="preserve">der mittelfristige Ersatz der überalterten Streuobstbestände am Mittelholz Jahnishausen durch gebietstypische Kopfweiden und deren regelmäßige Pflege;</w:t>
      </w:r>
    </w:p>
    <w:p>
      <w:r>
        <w:t xml:space="preserve">die naturnahe Unterhaltung der Flutmulde im Abschnitt zwischen dem Ober- und Mittelholz Jahnishausen zwecks langfristiger eigendynamischer Revitalisierung;</w:t>
      </w:r>
    </w:p>
    <w:p>
      <w:r>
        <w:t xml:space="preserve">die amphibiengerechte Unterhaltung der Gräben zwischen Langem Holz und Oberholz;</w:t>
      </w:r>
    </w:p>
    <w:p>
      <w:r>
        <w:t xml:space="preserve">die Ruhigstellung der nicht durch öffentliche Wege erschlossenen Gebietsteile und eine geeignete Besucherlenkung im Auenwald Jahnishausen.</w:t>
      </w:r>
    </w:p>
    <w:p>
      <w:r>
        <w:t xml:space="preserve">(2) Die erforderlichen Pflege- und Entwicklungsmaßnahmen können in einem Pflege- und Entwicklungsplan festgelegt werden. Auf die § 15 Abs. 5, §§ 38 und 39 SächsNatSchG wird verwiesen.</w:t>
      </w:r>
    </w:p>
    <w:p>
      <w:r>
        <w:rPr>
          <w:color w:val="555555"/>
          <w:sz w:val="17"/>
        </w:rPr>
        <w:t xml:space="preserve">Zitiervorschlag: § 6 SN-10192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https://recht.nulegal.eu/gesetze/SN-10192/6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