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SN-10190 (Sachsen) — Erlaubnisvorbehalte</w:t>
      </w:r>
    </w:p>
    <w:p>
      <w:r>
        <w:rPr>
          <w:color w:val="555555"/>
          <w:sz w:val="18"/>
        </w:rPr>
        <w:t xml:space="preserve">Verordnung des Regierungspräsidiums Chemnitz zur Festsetzung des Naturschutzgebietes „Jägersgrüner Hochmoor“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Folgende Maßnahmen, die ebenfalls nachteilige Auswirkungen auf den Schutzzweck nach § 3 im Schutzgebiet haben können, bedürfen der schriftlichen Erlaubnis der unteren Naturschutzbehörde:</w:t>
      </w:r>
    </w:p>
    <w:p>
      <w:r>
        <w:t xml:space="preserve">Dünger oder Pflanzenschutz-/Schädlingsbekämpfungsmittel auf Waldstandorte auszubringen;</w:t>
      </w:r>
    </w:p>
    <w:p>
      <w:r>
        <w:t xml:space="preserve">Kalk auf terrestrische Waldstandorte auszubringen;</w:t>
      </w:r>
    </w:p>
    <w:p>
      <w:r>
        <w:t xml:space="preserve">feste oder fahrbare jagdliche Hochsitze aufzustellen;</w:t>
      </w:r>
    </w:p>
    <w:p>
      <w:r>
        <w:t xml:space="preserve">Kirrungen anzulegen.</w:t>
      </w:r>
    </w:p>
    <w:p>
      <w:r>
        <w:t xml:space="preserve">(2) Die Erlaubnis ist zu erteilen, wenn die Handlungen den Schutzzweck nach § 3 nicht beeinträchtigen und Wirkungen der in § 4 genannten Arten nicht zur Folge haben oder solche Wirkungen durch Auflagen oder Bedingungen abgewendet werden können. Einer Erlaubnis bedarf es nicht bei Handlungen der Forst- und Jagdbehörden des Freistaates Sachsen, sofern diese im Einvernehmen mit der unteren Naturschutzbehörde ergehen.</w:t>
      </w:r>
    </w:p>
    <w:p>
      <w:r>
        <w:rPr>
          <w:color w:val="555555"/>
          <w:sz w:val="17"/>
        </w:rPr>
        <w:t xml:space="preserve">Zitiervorschlag: § 5 SN-10190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