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SN-10190 (Sachsen) — Festsetzung als Schutzgebiet</w:t>
      </w:r>
    </w:p>
    <w:p>
      <w:r>
        <w:rPr>
          <w:color w:val="555555"/>
          <w:sz w:val="18"/>
        </w:rPr>
        <w:t xml:space="preserve">Verordnung des Regierungspräsidiums Chemnitz zur Festsetzung des Naturschutzgebietes „Jägersgrüner Hochmoor“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in § 2 näher bezeichneten Flächen auf dem Gebiet der Stadt Auerbach/Vogtl. und der Gemeinde Tannenbergsthal im Vogtlandkreis werden als Naturschutzgebiet festgesetzt. Das Naturschutzgebiet führt die Bezeichnung „Jägersgrüner Hochmoor“.</w:t>
      </w:r>
    </w:p>
    <w:p>
      <w:r>
        <w:rPr>
          <w:color w:val="555555"/>
          <w:sz w:val="17"/>
        </w:rPr>
        <w:t xml:space="preserve">Zitiervorschlag: § 1 SN-10190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https://recht.nulegal.eu/gesetze/SN-10190/1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