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SN-10130 (Sachsen)</w:t>
      </w:r>
    </w:p>
    <w:p>
      <w:r>
        <w:rPr>
          <w:color w:val="555555"/>
          <w:sz w:val="18"/>
        </w:rPr>
        <w:t xml:space="preserve">Verordnung des Regierungspräsidiums Chemnitz zur Änderung des Naturparkes „Erzgebirge/Vogtland“ auf dem Gebiet der Stadt Klingenthal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§§ 20 und 50 Abs. 1 Satz 1 Nr. 2 des Sächsischen Gesetzes über Naturschutz und Landschaftspflege (Sächsisches Naturschutzgesetz – SächsNatSchG ) in der Fassung der Bekanntmachung vom 3. Juli 2007 (SächsGVBl. S. 321), das durch Artikel 64 des Gesetzes vom 29. Januar 2008 (SächsGVBl. S. 138, 181) geändert worden ist, wird verordnet:</w:t>
      </w:r>
    </w:p>
    <w:p>
      <w:r>
        <w:rPr>
          <w:color w:val="555555"/>
          <w:sz w:val="17"/>
        </w:rPr>
        <w:t xml:space="preserve">Zitiervorschlag: Eingangsformel SN-10130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https://recht.nulegal.eu/gesetze/SN-10130/eingangsformel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